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B180" w14:textId="77777777" w:rsidR="00E50DFA" w:rsidRDefault="00E50DFA" w:rsidP="00E50DFA">
      <w:pPr>
        <w:spacing w:before="100" w:beforeAutospacing="1" w:after="100" w:afterAutospacing="1"/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lang w:val="en-US"/>
        </w:rPr>
        <w:t>From: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Shipcon</w:t>
      </w:r>
      <w:proofErr w:type="spellEnd"/>
      <w:r>
        <w:rPr>
          <w:color w:val="000000"/>
          <w:lang w:val="en-US"/>
        </w:rPr>
        <w:t xml:space="preserve"> [</w:t>
      </w:r>
      <w:hyperlink r:id="rId5" w:history="1">
        <w:r>
          <w:rPr>
            <w:rStyle w:val="Hyperlink"/>
            <w:lang w:val="en-US"/>
          </w:rPr>
          <w:t>mailto:info@shipcon.eu.com</w:t>
        </w:r>
      </w:hyperlink>
      <w:r>
        <w:rPr>
          <w:color w:val="000000"/>
          <w:lang w:val="en-US"/>
        </w:rPr>
        <w:t xml:space="preserve">] 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Sent:</w:t>
      </w:r>
      <w:r>
        <w:rPr>
          <w:color w:val="000000"/>
          <w:lang w:val="en-US"/>
        </w:rPr>
        <w:t xml:space="preserve"> Thursday, May 20, 2021 2:37 PM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To:</w:t>
      </w:r>
      <w:r>
        <w:rPr>
          <w:color w:val="000000"/>
          <w:lang w:val="en-US"/>
        </w:rPr>
        <w:t xml:space="preserve"> Pasts IZM &lt;</w:t>
      </w:r>
      <w:hyperlink r:id="rId6" w:history="1">
        <w:r>
          <w:rPr>
            <w:rStyle w:val="Hyperlink"/>
            <w:lang w:val="en-US"/>
          </w:rPr>
          <w:t>pasts@izm.gov.lv</w:t>
        </w:r>
      </w:hyperlink>
      <w:r>
        <w:rPr>
          <w:color w:val="000000"/>
          <w:lang w:val="en-US"/>
        </w:rPr>
        <w:t>&gt;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Subject:</w:t>
      </w:r>
      <w:r>
        <w:rPr>
          <w:color w:val="000000"/>
          <w:lang w:val="en-US"/>
        </w:rPr>
        <w:t xml:space="preserve"> Innovative Erasmus+ School Mobility in Cyprus by </w:t>
      </w:r>
      <w:proofErr w:type="spellStart"/>
      <w:r>
        <w:rPr>
          <w:color w:val="000000"/>
          <w:lang w:val="en-US"/>
        </w:rPr>
        <w:t>ShipCon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50DFA" w14:paraId="28EADB47" w14:textId="77777777" w:rsidTr="00E50DF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50DFA" w14:paraId="0C2D045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0DFA" w14:paraId="14F1E99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14:paraId="545D28C5" w14:textId="0C76FA6B" w:rsidR="00E50DFA" w:rsidRDefault="00E50DFA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14:paraId="1F9AAEB4" w14:textId="77777777" w:rsidR="00E50DFA" w:rsidRDefault="00E50D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DFA" w14:paraId="6A808316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0DFA" w14:paraId="63F49B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50DFA" w14:paraId="031B14F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50DFA" w14:paraId="4DD8E5E1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50DFA" w14:paraId="2F25784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60D1683" w14:textId="77777777" w:rsidR="00E50DFA" w:rsidRDefault="00E50DFA" w:rsidP="00B16342">
                                          <w:pPr>
                                            <w:pStyle w:val="Heading1"/>
                                            <w:ind w:left="579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>Erasmus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 xml:space="preserve">+ School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>Mobility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>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0080"/>
                                            </w:rPr>
                                            <w:t>Cyprus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B852493" w14:textId="77777777" w:rsidR="00E50DFA" w:rsidRDefault="00E50DF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F7D7B6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003C3F" w14:textId="77777777" w:rsidR="00E50DFA" w:rsidRDefault="00E50DFA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50DFA" w14:paraId="0D1CAE5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14"/>
                              </w:tblGrid>
                              <w:tr w:rsidR="00E50DFA" w14:paraId="37910A96" w14:textId="77777777">
                                <w:tc>
                                  <w:tcPr>
                                    <w:tcW w:w="0" w:type="auto"/>
                                    <w:tcBorders>
                                      <w:top w:val="threeDEngrave" w:sz="6" w:space="0" w:color="auto"/>
                                      <w:left w:val="threeDEngrave" w:sz="6" w:space="0" w:color="auto"/>
                                      <w:bottom w:val="nil"/>
                                      <w:right w:val="threeDEngrave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14:paraId="411401AC" w14:textId="1234DC64" w:rsidR="00E50DFA" w:rsidRDefault="00E50DFA">
                                    <w:pPr>
                                      <w:spacing w:before="100" w:beforeAutospacing="1" w:after="100" w:afterAutospacing="1"/>
                                    </w:pPr>
                                  </w:p>
                                </w:tc>
                              </w:tr>
                              <w:tr w:rsidR="00E50DFA" w14:paraId="0158219C" w14:textId="77777777">
                                <w:tc>
                                  <w:tcPr>
                                    <w:tcW w:w="8190" w:type="dxa"/>
                                    <w:tcBorders>
                                      <w:top w:val="nil"/>
                                      <w:left w:val="threeDEngrave" w:sz="6" w:space="0" w:color="auto"/>
                                      <w:bottom w:val="threeDEngrave" w:sz="6" w:space="0" w:color="auto"/>
                                      <w:right w:val="threeDEngrave" w:sz="6" w:space="0" w:color="auto"/>
                                    </w:tcBorders>
                                    <w:shd w:val="clear" w:color="auto" w:fill="FFFFFF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24FF3EF" w14:textId="77777777" w:rsidR="00E50DFA" w:rsidRDefault="00E50DFA">
                                    <w:pPr>
                                      <w:spacing w:before="100" w:beforeAutospacing="1" w:after="100" w:afterAutospacing="1" w:line="360" w:lineRule="auto"/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ShipCon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innovative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traineeship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learning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programmes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pupils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primary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secondary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schools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include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</w:p>
                                  <w:p w14:paraId="604DF0B0" w14:textId="77777777" w:rsidR="00E50DFA" w:rsidRDefault="00E50DFA" w:rsidP="004E151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/>
                                        <w:color w:val="1615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Digital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Traineeships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29177A1D" w14:textId="77777777" w:rsidR="00E50DFA" w:rsidRDefault="00E50DFA" w:rsidP="004E151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/>
                                        <w:color w:val="1615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Business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Admin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office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work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04B46CC7" w14:textId="77777777" w:rsidR="00E50DFA" w:rsidRDefault="00E50DFA" w:rsidP="004E151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/>
                                        <w:color w:val="1615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Robotics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18BDB14A" w14:textId="77777777" w:rsidR="00E50DFA" w:rsidRDefault="00E50DFA" w:rsidP="004E151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/>
                                        <w:color w:val="1615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Special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Educational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Needs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Entrepreneurship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404710B1" w14:textId="77777777" w:rsidR="00E50DFA" w:rsidRDefault="00E50DFA" w:rsidP="004E151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/>
                                        <w:color w:val="1615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English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eastAsia="Times New Roman" w:hAnsi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1615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D0DFFD7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0DFA" w14:paraId="2DF2BF4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E50DFA" w14:paraId="0011CB8F" w14:textId="77777777">
                                <w:tc>
                                  <w:tcPr>
                                    <w:tcW w:w="0" w:type="auto"/>
                                    <w:shd w:val="clear" w:color="auto" w:fill="061458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E50DFA" w14:paraId="7D8CC0B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7081EA7" w14:textId="628B20AB" w:rsidR="00E50DFA" w:rsidRDefault="00E50DFA"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51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90"/>
                                    </w:tblGrid>
                                    <w:tr w:rsidR="00E50DFA" w14:paraId="0D7E02E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BC974EC" w14:textId="77777777" w:rsidR="00E50DFA" w:rsidRDefault="00E50DFA">
                                          <w:pPr>
                                            <w:pStyle w:val="Heading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traineeships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offered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by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ShipCon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include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FFFF00"/>
                                              <w:sz w:val="33"/>
                                              <w:szCs w:val="33"/>
                                            </w:rPr>
                                            <w:t>:</w:t>
                                          </w:r>
                                        </w:p>
                                        <w:p w14:paraId="1A975488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Transfer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airport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;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A92B43B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Full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board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accommodation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*;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29191892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Introduction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;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42D06A69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Individual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learning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programme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508F2206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Cultural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;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1E191EE4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Tutoring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mentoring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;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44C2DB15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Monitoring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evaluation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;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25B8EB2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eastAsia="Times New Roman"/>
                                              <w:color w:val="F2F2F2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Certification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Europass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413EC5" w14:textId="77777777" w:rsidR="00E50DFA" w:rsidRDefault="00E50DF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BAE512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0DFA" w14:paraId="4B6C29A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06145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5"/>
                              </w:tblGrid>
                              <w:tr w:rsidR="00E50DFA" w14:paraId="3B54D3A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222222"/>
                                      <w:left w:val="threeDEmboss" w:sz="6" w:space="0" w:color="222222"/>
                                      <w:bottom w:val="threeDEmboss" w:sz="6" w:space="0" w:color="222222"/>
                                      <w:right w:val="threeDEmboss" w:sz="6" w:space="0" w:color="222222"/>
                                    </w:tcBorders>
                                    <w:shd w:val="clear" w:color="auto" w:fill="061458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16865AC4" w14:textId="2BC5CF66" w:rsidR="00E50DFA" w:rsidRDefault="00E50DFA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instrText xml:space="preserve"> HYPERLINK "http://63pq.mjt.lu/lnk/AVcAAC81pAkAAcpIFeYAAGlOjwgAAYCp5fYAGpg7AAeLHABgpkndm70wd6MqTnC7Cs7SLh1YMQAHL6k/1/XE2yf89mQJpopBD3VBCRMw/aHR0cHM6Ly9zaGlwY29uLmV1LmNvbS9lcmFzbXVzLXNjaG9vbC1tb2JpbGl0aWVzLw" \o "For more info on School Mobility here" \t "_blank"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 xml:space="preserve"> info </w:t>
                                    </w:r>
                                    <w:proofErr w:type="spellStart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>on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 xml:space="preserve"> School </w:t>
                                    </w:r>
                                    <w:proofErr w:type="spellStart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>Mobility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E7B100"/>
                                        <w:spacing w:val="15"/>
                                      </w:rPr>
                                      <w:t>here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048FF05" w14:textId="77777777" w:rsidR="00E50DFA" w:rsidRDefault="00E50DF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0DFA" w14:paraId="0936AE7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50DFA" w14:paraId="3478CDEF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50DFA" w14:paraId="543ED6B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613248E" w14:textId="4B2C84D4" w:rsidR="00E50DFA" w:rsidRDefault="00E50DFA" w:rsidP="00104087">
                                          <w:pPr>
                                            <w:pStyle w:val="Heading1"/>
                                            <w:ind w:left="1146"/>
                                            <w:jc w:val="both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lastRenderedPageBreak/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Erasmus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 xml:space="preserve">+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Mobility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traineeships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magnificent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Cyprus</w:t>
                                          </w:r>
                                          <w:proofErr w:type="spellEnd"/>
                                        </w:p>
                                        <w:p w14:paraId="776E1760" w14:textId="77777777" w:rsidR="00E50DFA" w:rsidRDefault="00E50DFA" w:rsidP="00104087">
                                          <w:pPr>
                                            <w:spacing w:before="100" w:beforeAutospacing="1" w:after="150" w:line="360" w:lineRule="auto"/>
                                            <w:ind w:left="154"/>
                                            <w:jc w:val="both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Cyprus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combines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unique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characteristics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cannot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easily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found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many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countries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ensure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mobility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school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pupils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invaluable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summarised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below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.</w:t>
                                          </w:r>
                                        </w:p>
                                        <w:p w14:paraId="5583BC21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Security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safety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9D51A60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Excellent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Educational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Institutions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F61AD4A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Multicultural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2141D69D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High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quality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tourist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leisure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facilities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round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5D2F9A2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Millennia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culture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history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art </w:t>
                                          </w:r>
                                        </w:p>
                                        <w:p w14:paraId="39BFA953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Fabulous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weather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8CF972B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Hospitality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1EE70113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Gastronomy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1F20EF13" w14:textId="77777777" w:rsidR="00E50DFA" w:rsidRDefault="00E50DFA" w:rsidP="004E151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color w:val="1615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Quality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>sea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4D807615" w14:textId="77777777" w:rsidR="00E50DFA" w:rsidRDefault="00E50DFA">
                                          <w:pPr>
                                            <w:spacing w:before="100" w:beforeAutospacing="1" w:after="150" w:line="360" w:lineRule="auto"/>
                                            <w:jc w:val="center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information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Cyprus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please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visit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61515"/>
                                            </w:rPr>
                                            <w:t> 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80"/>
                                              </w:rPr>
                                              <w:t>http://www.visitcyprus.com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09C061E9" w14:textId="77777777" w:rsidR="00E50DFA" w:rsidRDefault="00E50DF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811CB3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CF9786" w14:textId="77777777" w:rsidR="00E50DFA" w:rsidRDefault="00E50D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ED952C" w14:textId="77777777" w:rsidR="00E50DFA" w:rsidRDefault="00E50D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DFA" w14:paraId="47D20F5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0DFA" w14:paraId="2D4759E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50DFA" w14:paraId="7E462E6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50DFA" w14:paraId="6A4E6678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50DFA" w14:paraId="15D7BE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F31D57B" w14:textId="77777777" w:rsidR="00E50DFA" w:rsidRDefault="00E50DF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B42725" w14:textId="77777777" w:rsidR="00E50DFA" w:rsidRDefault="00E50DF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BDF3FE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0DFA" w14:paraId="6755FC1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E50DFA" w14:paraId="041C519D" w14:textId="77777777" w:rsidTr="0010408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</w:tcPr>
                                  <w:p w14:paraId="00EFA1BC" w14:textId="58643A70" w:rsidR="00E50DFA" w:rsidRDefault="00E50DFA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4D739CDF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B61B6F" w14:textId="77777777" w:rsidR="00E50DFA" w:rsidRDefault="00E50D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51A274" w14:textId="77777777" w:rsidR="00E50DFA" w:rsidRDefault="00E50D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DFA" w14:paraId="565F01E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E50DFA" w14:paraId="2B0151D7" w14:textId="77777777">
                    <w:trPr>
                      <w:jc w:val="center"/>
                    </w:trPr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50DFA" w14:paraId="4ACC4DAE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60A23B5D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CCDF75" w14:textId="77777777" w:rsidR="00E50DFA" w:rsidRDefault="00E50D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50DFA" w14:paraId="230B5FB4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0A55DC7" w14:textId="77777777" w:rsidR="00E50DFA" w:rsidRDefault="00E50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635004" w14:textId="77777777" w:rsidR="00E50DFA" w:rsidRDefault="00E50D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AD7B45" w14:textId="77777777" w:rsidR="00E50DFA" w:rsidRDefault="00E50D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DFA" w14:paraId="66885F4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0DFA" w14:paraId="0AB61D7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50DFA" w14:paraId="491AD63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E50DFA" w14:paraId="2A5D1B3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50DFA" w14:paraId="6869E79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E50DFA" w14:paraId="5661C330" w14:textId="77777777" w:rsidTr="00B1634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14:paraId="61C825DF" w14:textId="77777777" w:rsidR="00E50DFA" w:rsidRDefault="00E50DF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F89E6D8" w14:textId="77777777" w:rsidR="00E50DFA" w:rsidRDefault="00E50DF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E5DD07" w14:textId="77777777" w:rsidR="00E50DFA" w:rsidRDefault="00E50DF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EA5710" w14:textId="77777777" w:rsidR="00E50DFA" w:rsidRDefault="00E50DF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9971F9" w14:textId="77777777" w:rsidR="00E50DFA" w:rsidRDefault="00E50D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947CE7" w14:textId="77777777" w:rsidR="00E50DFA" w:rsidRDefault="00E50D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0DFA" w14:paraId="2DD5BD5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shd w:val="clear" w:color="auto" w:fill="000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0DFA" w14:paraId="136B01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23B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50DFA" w14:paraId="6FCC64D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50DFA" w14:paraId="30113975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50DFA" w14:paraId="7014C9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8BB9A22" w14:textId="77777777" w:rsidR="00E50DFA" w:rsidRDefault="00E50DFA">
                                          <w:pPr>
                                            <w:spacing w:before="100" w:beforeAutospacing="1" w:after="100" w:afterAutospacing="1" w:line="300" w:lineRule="auto"/>
                                            <w:jc w:val="center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ShipCon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Email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sz w:val="21"/>
                                                <w:szCs w:val="21"/>
                                              </w:rPr>
                                              <w:t>info@shipcon.eu.com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Phone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: +357 25 21 2918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sz w:val="21"/>
                                                <w:szCs w:val="21"/>
                                              </w:rPr>
                                              <w:t>www.shipcon.eu.com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80CBA4" w14:textId="77777777" w:rsidR="00E50DFA" w:rsidRDefault="00E50DF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D6000B" w14:textId="77777777" w:rsidR="00E50DFA" w:rsidRDefault="00E50DFA">
                              <w:pPr>
                                <w:spacing w:before="100" w:beforeAutospacing="1" w:after="100" w:afterAutospacing="1"/>
                              </w:pPr>
                              <w:hyperlink r:id="rId10" w:history="1">
                                <w:proofErr w:type="spellStart"/>
                                <w:r>
                                  <w:rPr>
                                    <w:rStyle w:val="Hyperlink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</w:rPr>
                                  <w:t xml:space="preserve"> to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</w:rPr>
                                  <w:t>unsubscribe</w:t>
                                </w:r>
                                <w:proofErr w:type="spellEnd"/>
                              </w:hyperlink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14:paraId="0F4634FA" w14:textId="77777777" w:rsidR="00E50DFA" w:rsidRDefault="00E50D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21E187" w14:textId="77777777" w:rsidR="00E50DFA" w:rsidRDefault="00E50D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CE0035" w14:textId="77777777" w:rsidR="00E50DFA" w:rsidRDefault="00E50D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10215" w14:textId="77777777" w:rsidR="00AE58BA" w:rsidRDefault="00AE58BA" w:rsidP="00104087"/>
    <w:sectPr w:rsidR="00AE5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75B5"/>
    <w:multiLevelType w:val="multilevel"/>
    <w:tmpl w:val="F5F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5070E8"/>
    <w:multiLevelType w:val="multilevel"/>
    <w:tmpl w:val="769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FF237B"/>
    <w:multiLevelType w:val="multilevel"/>
    <w:tmpl w:val="9ABE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8A"/>
    <w:rsid w:val="0008108A"/>
    <w:rsid w:val="00104087"/>
    <w:rsid w:val="002B6599"/>
    <w:rsid w:val="00AE58BA"/>
    <w:rsid w:val="00B16342"/>
    <w:rsid w:val="00E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83BD"/>
  <w15:chartTrackingRefBased/>
  <w15:docId w15:val="{20849E0C-8B55-4573-9B45-2C41FE18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FA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E50D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50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DFA"/>
    <w:rPr>
      <w:rFonts w:ascii="Calibri" w:hAnsi="Calibri" w:cs="Calibri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DFA"/>
    <w:rPr>
      <w:rFonts w:ascii="Calibri" w:hAnsi="Calibri" w:cs="Calibri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50D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DFA"/>
    <w:rPr>
      <w:b/>
      <w:bCs/>
    </w:rPr>
  </w:style>
  <w:style w:type="character" w:styleId="Emphasis">
    <w:name w:val="Emphasis"/>
    <w:basedOn w:val="DefaultParagraphFont"/>
    <w:uiPriority w:val="20"/>
    <w:qFormat/>
    <w:rsid w:val="00E50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pcon.e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3pq.mjt.lu/lnk/AVcAAC81pAkAAcpIFeYAAGlOjwgAAYCp5fYAGpg7AAeLHABgpkndm70wd6MqTnC7Cs7SLh1YMQAHL6k/2/Reovu6D-JgU6V4tNdCFXCA/aHR0cDovL3d3dy52aXNpdGN5cHJ1cy5jb20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zm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hipcon.eu.com" TargetMode="External"/><Relationship Id="rId10" Type="http://schemas.openxmlformats.org/officeDocument/2006/relationships/hyperlink" Target="http://63pq.mjt.lu/unsub2?hl=en&amp;m=AVcAAC81pAkAAcpIFeYAAGlOjwgAAYCp5fYAGpg7AAeLHABgpkndm70wd6MqTnC7Cs7SLh1YMQAHL6k&amp;b=e41d75c4&amp;e=a3c69ecd&amp;x=rCyqDf0uaFl1fXh0sbNW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pcon.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1451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Kudiņa</dc:creator>
  <cp:keywords/>
  <dc:description/>
  <cp:lastModifiedBy>Katrīna Kudiņa</cp:lastModifiedBy>
  <cp:revision>5</cp:revision>
  <dcterms:created xsi:type="dcterms:W3CDTF">2021-05-24T10:14:00Z</dcterms:created>
  <dcterms:modified xsi:type="dcterms:W3CDTF">2021-05-24T10:17:00Z</dcterms:modified>
</cp:coreProperties>
</file>