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03C" w:rsidRPr="00D555F8" w:rsidRDefault="00D555F8" w:rsidP="00D555F8">
      <w:pPr>
        <w:jc w:val="center"/>
        <w:rPr>
          <w:b/>
          <w:color w:val="002060"/>
          <w:sz w:val="32"/>
          <w:szCs w:val="32"/>
        </w:rPr>
      </w:pPr>
      <w:r w:rsidRPr="00D555F8">
        <w:rPr>
          <w:b/>
          <w:color w:val="002060"/>
          <w:sz w:val="32"/>
          <w:szCs w:val="32"/>
        </w:rPr>
        <w:t>Quality Questions</w:t>
      </w:r>
    </w:p>
    <w:tbl>
      <w:tblPr>
        <w:tblStyle w:val="a"/>
        <w:tblW w:w="15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3556"/>
      </w:tblGrid>
      <w:tr w:rsidR="00D555F8" w:rsidTr="00D555F8">
        <w:tc>
          <w:tcPr>
            <w:tcW w:w="2122" w:type="dxa"/>
          </w:tcPr>
          <w:p w:rsidR="00D555F8" w:rsidRDefault="00D555F8">
            <w:pPr>
              <w:rPr>
                <w:b/>
                <w:color w:val="002060"/>
              </w:rPr>
            </w:pPr>
          </w:p>
        </w:tc>
        <w:tc>
          <w:tcPr>
            <w:tcW w:w="13556" w:type="dxa"/>
          </w:tcPr>
          <w:p w:rsidR="00D555F8" w:rsidRPr="00D555F8" w:rsidRDefault="00D555F8">
            <w:pPr>
              <w:rPr>
                <w:rFonts w:cs="Arial"/>
                <w:b/>
                <w:i/>
                <w:color w:val="002060"/>
              </w:rPr>
            </w:pPr>
            <w:r>
              <w:rPr>
                <w:rFonts w:ascii="Verdana" w:eastAsia="Verdana" w:hAnsi="Verdana" w:cs="Arial"/>
                <w:b/>
                <w:i/>
                <w:color w:val="002060"/>
              </w:rPr>
              <w:t>AAU</w:t>
            </w:r>
          </w:p>
        </w:tc>
      </w:tr>
      <w:tr w:rsidR="00D555F8" w:rsidTr="00D555F8">
        <w:tc>
          <w:tcPr>
            <w:tcW w:w="2122" w:type="dxa"/>
          </w:tcPr>
          <w:p w:rsidR="00D555F8" w:rsidRDefault="00D555F8">
            <w:pPr>
              <w:rPr>
                <w:b/>
                <w:color w:val="002060"/>
              </w:rPr>
            </w:pPr>
            <w:r>
              <w:rPr>
                <w:b/>
                <w:color w:val="002060"/>
              </w:rPr>
              <w:t>Internationalization strategy</w:t>
            </w:r>
          </w:p>
        </w:tc>
        <w:tc>
          <w:tcPr>
            <w:tcW w:w="13556" w:type="dxa"/>
          </w:tcPr>
          <w:p w:rsidR="00D555F8" w:rsidRPr="00D555F8" w:rsidRDefault="00D555F8" w:rsidP="00D555F8">
            <w:pPr>
              <w:pStyle w:val="xxmsonormal"/>
              <w:ind w:left="211" w:right="166"/>
              <w:jc w:val="both"/>
              <w:rPr>
                <w:rFonts w:ascii="Cambria" w:hAnsi="Cambria"/>
                <w:color w:val="002060"/>
                <w:sz w:val="22"/>
                <w:szCs w:val="22"/>
              </w:rPr>
            </w:pPr>
            <w:bookmarkStart w:id="0" w:name="_GoBack"/>
            <w:r w:rsidRPr="00D555F8">
              <w:rPr>
                <w:rFonts w:ascii="Cambria" w:hAnsi="Cambria"/>
                <w:b/>
                <w:bCs/>
                <w:color w:val="002060"/>
                <w:sz w:val="22"/>
                <w:szCs w:val="22"/>
              </w:rPr>
              <w:t>Amman Arab University</w:t>
            </w:r>
            <w:r w:rsidRPr="00D555F8">
              <w:rPr>
                <w:rFonts w:ascii="Cambria" w:hAnsi="Cambria"/>
                <w:color w:val="002060"/>
                <w:sz w:val="22"/>
                <w:szCs w:val="22"/>
              </w:rPr>
              <w:t xml:space="preserve"> </w:t>
            </w:r>
            <w:bookmarkEnd w:id="0"/>
            <w:r w:rsidRPr="00D555F8">
              <w:rPr>
                <w:rFonts w:ascii="Cambria" w:hAnsi="Cambria"/>
                <w:color w:val="002060"/>
                <w:sz w:val="22"/>
                <w:szCs w:val="22"/>
              </w:rPr>
              <w:t xml:space="preserve">is a Jordanian educational institute of higher education, located on Jordan Street, </w:t>
            </w:r>
            <w:proofErr w:type="spellStart"/>
            <w:r w:rsidRPr="00D555F8">
              <w:rPr>
                <w:rFonts w:ascii="Cambria" w:hAnsi="Cambria"/>
                <w:color w:val="002060"/>
                <w:sz w:val="22"/>
                <w:szCs w:val="22"/>
              </w:rPr>
              <w:t>Mubis</w:t>
            </w:r>
            <w:proofErr w:type="spellEnd"/>
            <w:r w:rsidRPr="00D555F8">
              <w:rPr>
                <w:rFonts w:ascii="Cambria" w:hAnsi="Cambria"/>
                <w:color w:val="002060"/>
                <w:sz w:val="22"/>
                <w:szCs w:val="22"/>
              </w:rPr>
              <w:t xml:space="preserve">-Amman. </w:t>
            </w:r>
            <w:r w:rsidRPr="00D555F8">
              <w:rPr>
                <w:rFonts w:ascii="Cambria" w:hAnsi="Cambria"/>
                <w:b/>
                <w:bCs/>
                <w:color w:val="002060"/>
                <w:sz w:val="22"/>
                <w:szCs w:val="22"/>
              </w:rPr>
              <w:t>Amman Arab University (AAU)</w:t>
            </w:r>
            <w:r w:rsidRPr="00D555F8">
              <w:rPr>
                <w:rFonts w:ascii="Cambria" w:hAnsi="Cambria"/>
                <w:color w:val="002060"/>
                <w:sz w:val="22"/>
                <w:szCs w:val="22"/>
              </w:rPr>
              <w:t xml:space="preserve"> was founded in 1997 under the Higher Education Council No. (1476) on 24/11/1997 as a non-profit private university specialized in graduate studies under the name Amman Arab University for Graduate Studies, and thereby became the first university in Jordan that offers graduate programs leading to Master's Degrees, and Doctoral Degrees. On 30/9/1998 the Higher Education Council gave consent for the university to start operating with the resolution No. (1625). Academic operation started in the beginning of the Second Semester of the academic year 1999/2000.</w:t>
            </w:r>
          </w:p>
          <w:p w:rsidR="00D555F8" w:rsidRPr="00D555F8" w:rsidRDefault="00D555F8" w:rsidP="00D555F8">
            <w:pPr>
              <w:pStyle w:val="xxmsonormal"/>
              <w:ind w:left="211" w:right="166"/>
              <w:jc w:val="both"/>
              <w:rPr>
                <w:rFonts w:ascii="Cambria" w:hAnsi="Cambria"/>
                <w:color w:val="002060"/>
                <w:sz w:val="22"/>
                <w:szCs w:val="22"/>
              </w:rPr>
            </w:pPr>
            <w:r w:rsidRPr="00D555F8">
              <w:rPr>
                <w:rFonts w:ascii="Cambria" w:hAnsi="Cambria"/>
                <w:color w:val="002060"/>
                <w:sz w:val="22"/>
                <w:szCs w:val="22"/>
              </w:rPr>
              <w:t>Two phases have passed. The first phase started with the early inception of the University in 1999 as specialized in graduate studies, and the phase second began when the University became more comprehensive and launched a number of undergraduate programs in 2009, and in turn its name changed to Amman Arab University (AAU).</w:t>
            </w:r>
          </w:p>
          <w:p w:rsidR="00D555F8" w:rsidRPr="00D555F8" w:rsidRDefault="00D555F8" w:rsidP="00D555F8">
            <w:pPr>
              <w:pStyle w:val="xxmsonormal"/>
              <w:ind w:left="211" w:right="166"/>
              <w:jc w:val="both"/>
              <w:rPr>
                <w:rFonts w:ascii="Cambria" w:hAnsi="Cambria"/>
                <w:color w:val="002060"/>
                <w:sz w:val="22"/>
                <w:szCs w:val="22"/>
              </w:rPr>
            </w:pPr>
            <w:r w:rsidRPr="00D555F8">
              <w:rPr>
                <w:rFonts w:ascii="Cambria" w:hAnsi="Cambria"/>
                <w:color w:val="002060"/>
                <w:sz w:val="22"/>
                <w:szCs w:val="22"/>
              </w:rPr>
              <w:t>Since 1999, the university has sought to be an active partner in the national and regional efforts to enhance the quality of university education and the provision of a university environment that promotes students’ freedom, creativity and attracts qualified students from Jordan, neighboring and foreign countries.</w:t>
            </w:r>
          </w:p>
          <w:p w:rsidR="00D555F8" w:rsidRPr="00D555F8" w:rsidRDefault="00D555F8" w:rsidP="00D555F8">
            <w:pPr>
              <w:pStyle w:val="xxmsonormal"/>
              <w:ind w:left="211" w:right="166"/>
              <w:jc w:val="both"/>
              <w:rPr>
                <w:rFonts w:ascii="Cambria" w:hAnsi="Cambria"/>
                <w:color w:val="002060"/>
                <w:sz w:val="22"/>
                <w:szCs w:val="22"/>
              </w:rPr>
            </w:pPr>
            <w:r w:rsidRPr="00D555F8">
              <w:rPr>
                <w:rFonts w:ascii="Cambria" w:hAnsi="Cambria"/>
                <w:color w:val="002060"/>
                <w:sz w:val="22"/>
                <w:szCs w:val="22"/>
              </w:rPr>
              <w:t xml:space="preserve">The University endeavors always to attain distinction and to foster the spirit of entrepreneurship and innovation in quality teaching, originality of research work, and community services. The University takes upon itself to provide the job market and stakeholders with well-informed and well-trained graduates who are expected to excel in their professions, and who are able to meet the demands and requirements desired by interested parties. The University also works industriously to nurture entrepreneurship potentials and creative ideas of its students and urge them to invest all energies and potentials in their pursuit and apply what they acquire in their work life after graduation. The University is moreover determined to be one of its kind in promoting scientific, critical and creative thinking; it moves enthusiastically to achieve distinction through theory and practice-based teaching. The study plans are carefully fashioned to meet the demands and challenges of the market. The University aspires to be a modern and comprehensive university renown locally, regionally and internationally for its curriculum and study plans. Our academic programs are offered in state-of-the-art facilities that combines both modernity and originality, and our students tread and learn in an environment, which is aesthetically pleasing, academically stimulating, and culturally enriching. </w:t>
            </w:r>
          </w:p>
          <w:p w:rsidR="00D555F8" w:rsidRPr="00D555F8" w:rsidRDefault="00D555F8" w:rsidP="00D555F8">
            <w:pPr>
              <w:pStyle w:val="xxmsonormal"/>
              <w:ind w:left="211" w:right="166"/>
              <w:jc w:val="both"/>
              <w:rPr>
                <w:rFonts w:ascii="Cambria" w:hAnsi="Cambria"/>
                <w:color w:val="002060"/>
                <w:sz w:val="22"/>
                <w:szCs w:val="22"/>
              </w:rPr>
            </w:pPr>
            <w:r w:rsidRPr="00D555F8">
              <w:rPr>
                <w:rFonts w:ascii="Cambria" w:hAnsi="Cambria"/>
                <w:color w:val="002060"/>
                <w:sz w:val="22"/>
                <w:szCs w:val="22"/>
              </w:rPr>
              <w:t xml:space="preserve">Further, the University enhances pluralism and civilized thinking and cultural integration, also it disseminates the culture of understanding and tolerance, at the same time it denounces all kinds of violence, fanaticism, and prejudice. Since its inception up to the present time, the University has provided the local and Arab community with highly qualified graduates, taught and nurtured at the hand of distinguished faculty members who acquired Graduate Degrees at various universities, local, regional, and international. </w:t>
            </w:r>
          </w:p>
          <w:p w:rsidR="00D555F8" w:rsidRPr="00D555F8" w:rsidRDefault="00D555F8" w:rsidP="00D555F8">
            <w:pPr>
              <w:pStyle w:val="xxmsonormal"/>
              <w:ind w:left="211" w:right="166"/>
              <w:jc w:val="both"/>
              <w:rPr>
                <w:rFonts w:ascii="Cambria" w:hAnsi="Cambria"/>
                <w:color w:val="002060"/>
                <w:sz w:val="22"/>
                <w:szCs w:val="22"/>
              </w:rPr>
            </w:pPr>
          </w:p>
          <w:p w:rsidR="00D555F8" w:rsidRPr="00D555F8" w:rsidRDefault="00D555F8" w:rsidP="00D555F8">
            <w:pPr>
              <w:pStyle w:val="xxmsonormal"/>
              <w:ind w:left="211" w:right="166"/>
              <w:jc w:val="both"/>
              <w:rPr>
                <w:rFonts w:ascii="Cambria" w:hAnsi="Cambria"/>
                <w:color w:val="002060"/>
                <w:sz w:val="22"/>
                <w:szCs w:val="22"/>
              </w:rPr>
            </w:pPr>
            <w:r w:rsidRPr="00D555F8">
              <w:rPr>
                <w:rFonts w:ascii="Cambria" w:hAnsi="Cambria"/>
                <w:color w:val="002060"/>
                <w:sz w:val="22"/>
                <w:szCs w:val="22"/>
              </w:rPr>
              <w:t xml:space="preserve">The University is located on Jordan Road at </w:t>
            </w:r>
            <w:proofErr w:type="spellStart"/>
            <w:r w:rsidRPr="00D555F8">
              <w:rPr>
                <w:rFonts w:ascii="Cambria" w:hAnsi="Cambria"/>
                <w:color w:val="002060"/>
                <w:sz w:val="22"/>
                <w:szCs w:val="22"/>
              </w:rPr>
              <w:t>Mobis</w:t>
            </w:r>
            <w:proofErr w:type="spellEnd"/>
            <w:r w:rsidRPr="00D555F8">
              <w:rPr>
                <w:rFonts w:ascii="Cambria" w:hAnsi="Cambria"/>
                <w:color w:val="002060"/>
                <w:sz w:val="22"/>
                <w:szCs w:val="22"/>
              </w:rPr>
              <w:t xml:space="preserve">, and the Campus is about 12 Km north of the Capital Amman in an area that overlooks the city of Amman, the governorate of </w:t>
            </w:r>
            <w:proofErr w:type="spellStart"/>
            <w:r w:rsidRPr="00D555F8">
              <w:rPr>
                <w:rFonts w:ascii="Cambria" w:hAnsi="Cambria"/>
                <w:color w:val="002060"/>
                <w:sz w:val="22"/>
                <w:szCs w:val="22"/>
              </w:rPr>
              <w:t>Balqaa</w:t>
            </w:r>
            <w:proofErr w:type="spellEnd"/>
            <w:r w:rsidRPr="00D555F8">
              <w:rPr>
                <w:rFonts w:ascii="Cambria" w:hAnsi="Cambria"/>
                <w:color w:val="002060"/>
                <w:sz w:val="22"/>
                <w:szCs w:val="22"/>
              </w:rPr>
              <w:t xml:space="preserve">, and the governorate of </w:t>
            </w:r>
            <w:proofErr w:type="spellStart"/>
            <w:r w:rsidRPr="00D555F8">
              <w:rPr>
                <w:rFonts w:ascii="Cambria" w:hAnsi="Cambria"/>
                <w:color w:val="002060"/>
                <w:sz w:val="22"/>
                <w:szCs w:val="22"/>
              </w:rPr>
              <w:t>Jerash</w:t>
            </w:r>
            <w:proofErr w:type="spellEnd"/>
            <w:r w:rsidRPr="00D555F8">
              <w:rPr>
                <w:rFonts w:ascii="Cambria" w:hAnsi="Cambria"/>
                <w:color w:val="002060"/>
                <w:sz w:val="22"/>
                <w:szCs w:val="22"/>
              </w:rPr>
              <w:t xml:space="preserve"> beside the </w:t>
            </w:r>
            <w:proofErr w:type="spellStart"/>
            <w:r w:rsidRPr="00D555F8">
              <w:rPr>
                <w:rFonts w:ascii="Cambria" w:hAnsi="Cambria"/>
                <w:color w:val="002060"/>
                <w:sz w:val="22"/>
                <w:szCs w:val="22"/>
              </w:rPr>
              <w:t>Baqa’a</w:t>
            </w:r>
            <w:proofErr w:type="spellEnd"/>
            <w:r w:rsidRPr="00D555F8">
              <w:rPr>
                <w:rFonts w:ascii="Cambria" w:hAnsi="Cambria"/>
                <w:color w:val="002060"/>
                <w:sz w:val="22"/>
                <w:szCs w:val="22"/>
              </w:rPr>
              <w:t xml:space="preserve"> Valley. </w:t>
            </w:r>
          </w:p>
          <w:p w:rsidR="00D555F8" w:rsidRPr="00D555F8" w:rsidRDefault="00D555F8" w:rsidP="00D555F8">
            <w:pPr>
              <w:pStyle w:val="xxmsonormal"/>
              <w:ind w:left="211" w:right="166"/>
              <w:jc w:val="both"/>
              <w:rPr>
                <w:rFonts w:ascii="Cambria" w:hAnsi="Cambria"/>
                <w:color w:val="002060"/>
                <w:sz w:val="22"/>
                <w:szCs w:val="22"/>
              </w:rPr>
            </w:pPr>
            <w:r w:rsidRPr="00D555F8">
              <w:rPr>
                <w:rFonts w:ascii="Cambria" w:hAnsi="Cambria"/>
                <w:color w:val="002060"/>
                <w:sz w:val="22"/>
                <w:szCs w:val="22"/>
              </w:rPr>
              <w:t>AAU is constantly growing and plans to expand its campus facilities to meet the international standards and increase the number of programs offered. Currently, the areas of the buildings exceed 15,000 square meters, in addition to more than 5,000 square meters of terraces, green areas, basketball court.</w:t>
            </w:r>
          </w:p>
          <w:p w:rsidR="00D555F8" w:rsidRDefault="00D555F8" w:rsidP="00D555F8">
            <w:pPr>
              <w:pStyle w:val="xxmsonormal"/>
              <w:ind w:right="166"/>
              <w:jc w:val="both"/>
              <w:rPr>
                <w:rFonts w:ascii="Cambria" w:hAnsi="Cambria"/>
                <w:color w:val="002060"/>
                <w:sz w:val="22"/>
                <w:szCs w:val="22"/>
              </w:rPr>
            </w:pPr>
          </w:p>
          <w:p w:rsidR="00D555F8" w:rsidRPr="006B4661" w:rsidRDefault="00D555F8" w:rsidP="00D555F8">
            <w:pPr>
              <w:pStyle w:val="xxmsonormal"/>
              <w:ind w:left="211" w:right="166"/>
              <w:jc w:val="both"/>
              <w:rPr>
                <w:rFonts w:ascii="Cambria" w:hAnsi="Cambria"/>
                <w:color w:val="002060"/>
                <w:sz w:val="22"/>
                <w:szCs w:val="22"/>
              </w:rPr>
            </w:pPr>
            <w:r>
              <w:rPr>
                <w:rFonts w:ascii="Cambria" w:hAnsi="Cambria"/>
                <w:color w:val="002060"/>
                <w:sz w:val="22"/>
                <w:szCs w:val="22"/>
              </w:rPr>
              <w:t xml:space="preserve">AAU </w:t>
            </w:r>
            <w:r w:rsidRPr="006B4661">
              <w:rPr>
                <w:rFonts w:ascii="Cambria" w:hAnsi="Cambria"/>
                <w:color w:val="002060"/>
                <w:sz w:val="22"/>
                <w:szCs w:val="22"/>
              </w:rPr>
              <w:t>has embarked on a transformation program with a strong belief in the power of change. This program is essential, of highest priority and a goal that the university will aim to achieve in order to crown.</w:t>
            </w:r>
          </w:p>
          <w:p w:rsidR="00D555F8" w:rsidRPr="006B4661" w:rsidRDefault="00D555F8" w:rsidP="00D555F8">
            <w:pPr>
              <w:pStyle w:val="xxmsonormal"/>
              <w:ind w:left="211" w:right="166"/>
              <w:jc w:val="both"/>
              <w:rPr>
                <w:rFonts w:ascii="Cambria" w:hAnsi="Cambria"/>
                <w:color w:val="002060"/>
                <w:sz w:val="22"/>
                <w:szCs w:val="22"/>
              </w:rPr>
            </w:pPr>
          </w:p>
          <w:p w:rsidR="00D555F8" w:rsidRDefault="00D555F8" w:rsidP="00C86566">
            <w:pPr>
              <w:pStyle w:val="xxmsonormal"/>
              <w:ind w:left="211" w:right="166"/>
              <w:jc w:val="both"/>
              <w:rPr>
                <w:rFonts w:ascii="Cambria" w:hAnsi="Cambria"/>
                <w:color w:val="002060"/>
                <w:sz w:val="22"/>
                <w:szCs w:val="22"/>
              </w:rPr>
            </w:pPr>
            <w:r w:rsidRPr="000841F0">
              <w:rPr>
                <w:rFonts w:ascii="Cambria" w:hAnsi="Cambria"/>
                <w:color w:val="002060"/>
                <w:sz w:val="22"/>
                <w:szCs w:val="22"/>
              </w:rPr>
              <w:lastRenderedPageBreak/>
              <w:t xml:space="preserve">In the frame of its internationalization strategy, </w:t>
            </w:r>
            <w:r w:rsidR="00C86566">
              <w:rPr>
                <w:rFonts w:ascii="Cambria" w:hAnsi="Cambria"/>
                <w:color w:val="002060"/>
                <w:sz w:val="22"/>
                <w:szCs w:val="22"/>
              </w:rPr>
              <w:t>AAU</w:t>
            </w:r>
            <w:r w:rsidRPr="000841F0">
              <w:rPr>
                <w:rFonts w:ascii="Cambria" w:hAnsi="Cambria"/>
                <w:color w:val="002060"/>
                <w:sz w:val="22"/>
                <w:szCs w:val="22"/>
              </w:rPr>
              <w:t xml:space="preserve"> eagerly works towards developing strong and effective partnerships with regional and international institutions, which provide researchers, staff and students with opportunities for international collaboration and active involvement in multidisciplinary projects and programs at regional and global levels. </w:t>
            </w:r>
            <w:r>
              <w:rPr>
                <w:rFonts w:ascii="Cambria" w:hAnsi="Cambria"/>
                <w:color w:val="002060"/>
                <w:sz w:val="22"/>
                <w:szCs w:val="22"/>
              </w:rPr>
              <w:t>As a response, The International Relations Office was established in 2018.</w:t>
            </w:r>
          </w:p>
          <w:p w:rsidR="00D555F8" w:rsidRPr="000841F0" w:rsidRDefault="00D555F8" w:rsidP="00D555F8">
            <w:pPr>
              <w:pStyle w:val="xxmsonormal"/>
              <w:ind w:right="166"/>
              <w:jc w:val="both"/>
              <w:rPr>
                <w:rFonts w:ascii="Cambria" w:hAnsi="Cambria"/>
                <w:color w:val="002060"/>
                <w:sz w:val="22"/>
                <w:szCs w:val="22"/>
              </w:rPr>
            </w:pPr>
          </w:p>
          <w:p w:rsidR="00D555F8" w:rsidRPr="00D555F8" w:rsidRDefault="00D555F8" w:rsidP="00D555F8">
            <w:pPr>
              <w:pStyle w:val="ListParagraph"/>
              <w:ind w:left="211" w:right="166"/>
              <w:jc w:val="both"/>
              <w:rPr>
                <w:rFonts w:ascii="Cambria" w:hAnsi="Cambria" w:cs="Times New Roman"/>
                <w:color w:val="002060"/>
                <w:lang w:val="en-US" w:eastAsia="en-US" w:bidi="ar-SA"/>
              </w:rPr>
            </w:pPr>
            <w:r w:rsidRPr="00D555F8">
              <w:rPr>
                <w:rFonts w:ascii="Cambria" w:hAnsi="Cambria" w:cs="Times New Roman"/>
                <w:color w:val="002060"/>
                <w:lang w:val="en-US" w:eastAsia="en-US" w:bidi="ar-SA"/>
              </w:rPr>
              <w:t>To guarantee a fair, transparent, coherent and documented procedure for awarding the grant to participants, new regulations were initiated by AAU administration that are designed to facilitate the mobility process in accordance with the European Charter for Higher Education.</w:t>
            </w:r>
          </w:p>
          <w:p w:rsidR="00D555F8" w:rsidRPr="00D555F8" w:rsidRDefault="00D555F8" w:rsidP="00D555F8">
            <w:pPr>
              <w:pStyle w:val="ListParagraph"/>
              <w:ind w:left="211" w:right="166"/>
              <w:jc w:val="both"/>
              <w:rPr>
                <w:rFonts w:ascii="Cambria" w:hAnsi="Cambria" w:cs="Times New Roman"/>
                <w:color w:val="002060"/>
                <w:lang w:val="en-US" w:eastAsia="en-US" w:bidi="ar-SA"/>
              </w:rPr>
            </w:pPr>
          </w:p>
          <w:p w:rsidR="00D555F8" w:rsidRPr="00D555F8" w:rsidRDefault="00D555F8" w:rsidP="00D555F8">
            <w:pPr>
              <w:pStyle w:val="ListParagraph"/>
              <w:ind w:left="211" w:right="166"/>
              <w:jc w:val="both"/>
              <w:rPr>
                <w:rFonts w:ascii="Cambria" w:hAnsi="Cambria" w:cs="Times New Roman"/>
                <w:color w:val="002060"/>
                <w:lang w:val="en-US" w:eastAsia="en-US" w:bidi="ar-SA"/>
              </w:rPr>
            </w:pPr>
            <w:r w:rsidRPr="00D555F8">
              <w:rPr>
                <w:rFonts w:ascii="Cambria" w:hAnsi="Cambria" w:cs="Times New Roman"/>
                <w:color w:val="002060"/>
                <w:lang w:val="en-US" w:eastAsia="en-US" w:bidi="ar-SA"/>
              </w:rPr>
              <w:t>The Erasmus + International Credit Mobility program offers students at AAU the opportunity to enhance their skills and global competitiveness through experiencing different cultural environment which consequently would improve their employability and transversal skills.</w:t>
            </w:r>
          </w:p>
          <w:p w:rsidR="00D555F8" w:rsidRPr="00D555F8" w:rsidRDefault="00D555F8" w:rsidP="00D555F8">
            <w:pPr>
              <w:jc w:val="both"/>
              <w:rPr>
                <w:rFonts w:ascii="Cambria" w:eastAsiaTheme="minorHAnsi" w:hAnsi="Cambria" w:cs="Times New Roman"/>
                <w:color w:val="002060"/>
              </w:rPr>
            </w:pPr>
            <w:r w:rsidRPr="00D555F8">
              <w:rPr>
                <w:rFonts w:ascii="Cambria" w:eastAsiaTheme="minorHAnsi" w:hAnsi="Cambria" w:cs="Times New Roman"/>
                <w:color w:val="002060"/>
              </w:rPr>
              <w:t>For more information on internationalization strategy and international activities please follow the links:</w:t>
            </w:r>
          </w:p>
          <w:p w:rsidR="00D555F8" w:rsidRPr="00D555F8" w:rsidRDefault="009C62FC" w:rsidP="00D555F8">
            <w:pPr>
              <w:pStyle w:val="ListParagraph"/>
              <w:ind w:left="211" w:right="166"/>
              <w:jc w:val="both"/>
              <w:rPr>
                <w:rFonts w:ascii="Cambria" w:hAnsi="Cambria" w:cs="Times New Roman"/>
                <w:color w:val="002060"/>
                <w:lang w:val="en-US" w:eastAsia="en-US" w:bidi="ar-SA"/>
              </w:rPr>
            </w:pPr>
            <w:hyperlink r:id="rId5" w:history="1">
              <w:r w:rsidR="00D555F8" w:rsidRPr="00D555F8">
                <w:rPr>
                  <w:rFonts w:cs="Times New Roman"/>
                  <w:color w:val="002060"/>
                  <w:lang w:val="en-US" w:eastAsia="en-US" w:bidi="ar-SA"/>
                </w:rPr>
                <w:t>http://www.aau.edu.jo/sites/EN/Presidency/Pages/default.aspx</w:t>
              </w:r>
            </w:hyperlink>
          </w:p>
          <w:p w:rsidR="00D555F8" w:rsidRPr="00D555F8" w:rsidRDefault="009C62FC" w:rsidP="00D555F8">
            <w:pPr>
              <w:pStyle w:val="ListParagraph"/>
              <w:ind w:left="211" w:right="166"/>
              <w:jc w:val="both"/>
              <w:rPr>
                <w:rFonts w:ascii="Cambria" w:hAnsi="Cambria" w:cs="Times New Roman"/>
                <w:color w:val="002060"/>
                <w:lang w:val="en-US" w:eastAsia="en-US" w:bidi="ar-SA"/>
              </w:rPr>
            </w:pPr>
            <w:hyperlink r:id="rId6" w:history="1">
              <w:r w:rsidR="00D555F8" w:rsidRPr="00D555F8">
                <w:rPr>
                  <w:rFonts w:cs="Times New Roman"/>
                  <w:color w:val="002060"/>
                  <w:lang w:val="en-US" w:eastAsia="en-US" w:bidi="ar-SA"/>
                </w:rPr>
                <w:t>http://www.aau.edu.jo/sites/EN/External-Relations/Pages/default.aspx</w:t>
              </w:r>
            </w:hyperlink>
          </w:p>
        </w:tc>
      </w:tr>
      <w:tr w:rsidR="00D555F8" w:rsidTr="00D555F8">
        <w:tc>
          <w:tcPr>
            <w:tcW w:w="2122" w:type="dxa"/>
          </w:tcPr>
          <w:p w:rsidR="00D555F8" w:rsidRDefault="00D555F8">
            <w:pPr>
              <w:rPr>
                <w:b/>
                <w:color w:val="002060"/>
              </w:rPr>
            </w:pPr>
            <w:r>
              <w:rPr>
                <w:b/>
                <w:color w:val="002060"/>
              </w:rPr>
              <w:lastRenderedPageBreak/>
              <w:t xml:space="preserve">Preferred study mobility </w:t>
            </w:r>
          </w:p>
        </w:tc>
        <w:tc>
          <w:tcPr>
            <w:tcW w:w="13556" w:type="dxa"/>
          </w:tcPr>
          <w:p w:rsidR="00D555F8" w:rsidRDefault="00D555F8">
            <w:pPr>
              <w:rPr>
                <w:color w:val="002060"/>
              </w:rPr>
            </w:pPr>
            <w:r>
              <w:rPr>
                <w:color w:val="002060"/>
              </w:rPr>
              <w:t>Preferred study mobility :</w:t>
            </w:r>
          </w:p>
          <w:p w:rsidR="00D555F8" w:rsidRDefault="00D555F8">
            <w:pPr>
              <w:rPr>
                <w:color w:val="002060"/>
              </w:rPr>
            </w:pPr>
          </w:p>
          <w:p w:rsidR="00D555F8" w:rsidRDefault="00D555F8" w:rsidP="00D85D01">
            <w:pPr>
              <w:rPr>
                <w:color w:val="002060"/>
              </w:rPr>
            </w:pPr>
            <w:r>
              <w:rPr>
                <w:color w:val="002060"/>
              </w:rPr>
              <w:t>Mobility Cycle: 1</w:t>
            </w:r>
            <w:r w:rsidRPr="00D85D01">
              <w:rPr>
                <w:color w:val="002060"/>
                <w:vertAlign w:val="superscript"/>
              </w:rPr>
              <w:t>st</w:t>
            </w:r>
            <w:r>
              <w:rPr>
                <w:color w:val="002060"/>
              </w:rPr>
              <w:t xml:space="preserve"> cycle (BSc) and 2</w:t>
            </w:r>
            <w:r w:rsidRPr="00D85D01">
              <w:rPr>
                <w:color w:val="002060"/>
                <w:vertAlign w:val="superscript"/>
              </w:rPr>
              <w:t>nd</w:t>
            </w:r>
            <w:r>
              <w:rPr>
                <w:color w:val="002060"/>
              </w:rPr>
              <w:t xml:space="preserve"> cycle (MSc)</w:t>
            </w:r>
          </w:p>
          <w:p w:rsidR="00D555F8" w:rsidRDefault="00D555F8">
            <w:pPr>
              <w:rPr>
                <w:color w:val="002060"/>
              </w:rPr>
            </w:pPr>
          </w:p>
          <w:p w:rsidR="00D555F8" w:rsidRDefault="00D555F8">
            <w:pPr>
              <w:rPr>
                <w:color w:val="002060"/>
              </w:rPr>
            </w:pPr>
            <w:r>
              <w:rPr>
                <w:color w:val="002060"/>
              </w:rPr>
              <w:t>Preferred area of study:</w:t>
            </w:r>
          </w:p>
          <w:p w:rsidR="00D555F8" w:rsidRPr="00D555F8" w:rsidRDefault="00D555F8" w:rsidP="00D555F8">
            <w:pPr>
              <w:pStyle w:val="ListParagraph"/>
              <w:numPr>
                <w:ilvl w:val="0"/>
                <w:numId w:val="1"/>
              </w:numPr>
              <w:spacing w:after="0" w:line="240" w:lineRule="auto"/>
              <w:rPr>
                <w:color w:val="002060"/>
              </w:rPr>
            </w:pPr>
            <w:r w:rsidRPr="00D555F8">
              <w:rPr>
                <w:color w:val="002060"/>
                <w:lang w:val="en-US"/>
              </w:rPr>
              <w:t>Business</w:t>
            </w:r>
          </w:p>
          <w:p w:rsidR="00D555F8" w:rsidRDefault="00D555F8" w:rsidP="00D555F8">
            <w:pPr>
              <w:pStyle w:val="ListParagraph"/>
              <w:numPr>
                <w:ilvl w:val="0"/>
                <w:numId w:val="1"/>
              </w:numPr>
              <w:spacing w:after="0" w:line="240" w:lineRule="auto"/>
              <w:rPr>
                <w:color w:val="002060"/>
              </w:rPr>
            </w:pPr>
            <w:r>
              <w:rPr>
                <w:color w:val="002060"/>
              </w:rPr>
              <w:t>C</w:t>
            </w:r>
            <w:r w:rsidRPr="00D555F8">
              <w:rPr>
                <w:color w:val="002060"/>
              </w:rPr>
              <w:t>omputer Science and Information Technology</w:t>
            </w:r>
            <w:r>
              <w:rPr>
                <w:color w:val="002060"/>
              </w:rPr>
              <w:t xml:space="preserve"> (</w:t>
            </w:r>
            <w:r w:rsidRPr="00D555F8">
              <w:rPr>
                <w:color w:val="002060"/>
              </w:rPr>
              <w:t>Computer information system department</w:t>
            </w:r>
            <w:r>
              <w:rPr>
                <w:color w:val="002060"/>
              </w:rPr>
              <w:t xml:space="preserve">, </w:t>
            </w:r>
            <w:r w:rsidRPr="00D555F8">
              <w:rPr>
                <w:color w:val="002060"/>
              </w:rPr>
              <w:t>Computer Science Department</w:t>
            </w:r>
            <w:r>
              <w:rPr>
                <w:color w:val="002060"/>
              </w:rPr>
              <w:t xml:space="preserve">, </w:t>
            </w:r>
            <w:r w:rsidRPr="00D555F8">
              <w:rPr>
                <w:color w:val="002060"/>
              </w:rPr>
              <w:t>Mobile Computing department</w:t>
            </w:r>
            <w:r>
              <w:rPr>
                <w:color w:val="002060"/>
              </w:rPr>
              <w:t xml:space="preserve"> and </w:t>
            </w:r>
            <w:r w:rsidRPr="00D555F8">
              <w:rPr>
                <w:color w:val="002060"/>
              </w:rPr>
              <w:t>Software Engineering department</w:t>
            </w:r>
            <w:r>
              <w:rPr>
                <w:color w:val="002060"/>
              </w:rPr>
              <w:t>)</w:t>
            </w:r>
          </w:p>
          <w:p w:rsidR="00D555F8" w:rsidRDefault="00D555F8" w:rsidP="00D555F8">
            <w:pPr>
              <w:pStyle w:val="ListParagraph"/>
              <w:numPr>
                <w:ilvl w:val="0"/>
                <w:numId w:val="1"/>
              </w:numPr>
              <w:spacing w:after="0" w:line="240" w:lineRule="auto"/>
              <w:rPr>
                <w:color w:val="002060"/>
              </w:rPr>
            </w:pPr>
            <w:r>
              <w:rPr>
                <w:color w:val="002060"/>
              </w:rPr>
              <w:t>Law</w:t>
            </w:r>
          </w:p>
          <w:p w:rsidR="00D555F8" w:rsidRDefault="00D555F8" w:rsidP="00D555F8">
            <w:pPr>
              <w:pStyle w:val="ListParagraph"/>
              <w:numPr>
                <w:ilvl w:val="0"/>
                <w:numId w:val="1"/>
              </w:numPr>
              <w:spacing w:after="0" w:line="240" w:lineRule="auto"/>
              <w:rPr>
                <w:color w:val="002060"/>
              </w:rPr>
            </w:pPr>
            <w:r w:rsidRPr="00D555F8">
              <w:rPr>
                <w:color w:val="002060"/>
              </w:rPr>
              <w:t>Educational and Psychological Sciences</w:t>
            </w:r>
          </w:p>
          <w:p w:rsidR="00D555F8" w:rsidRPr="00D555F8" w:rsidRDefault="00D555F8" w:rsidP="00D555F8">
            <w:pPr>
              <w:pStyle w:val="ListParagraph"/>
              <w:numPr>
                <w:ilvl w:val="0"/>
                <w:numId w:val="1"/>
              </w:numPr>
              <w:spacing w:after="0" w:line="240" w:lineRule="auto"/>
              <w:rPr>
                <w:color w:val="002060"/>
              </w:rPr>
            </w:pPr>
            <w:r w:rsidRPr="00D555F8">
              <w:rPr>
                <w:color w:val="002060"/>
              </w:rPr>
              <w:t>Arts and Sciences</w:t>
            </w:r>
          </w:p>
          <w:p w:rsidR="00D555F8" w:rsidRPr="00D85D01" w:rsidRDefault="00D555F8" w:rsidP="00D555F8">
            <w:pPr>
              <w:pStyle w:val="ListParagraph"/>
              <w:numPr>
                <w:ilvl w:val="0"/>
                <w:numId w:val="1"/>
              </w:numPr>
              <w:spacing w:after="0" w:line="240" w:lineRule="auto"/>
              <w:rPr>
                <w:color w:val="002060"/>
              </w:rPr>
            </w:pPr>
            <w:r w:rsidRPr="00D85D01">
              <w:rPr>
                <w:color w:val="002060"/>
              </w:rPr>
              <w:t>Engineering (</w:t>
            </w:r>
            <w:r w:rsidRPr="00D555F8">
              <w:rPr>
                <w:color w:val="002060"/>
              </w:rPr>
              <w:t>Architecture</w:t>
            </w:r>
            <w:r>
              <w:rPr>
                <w:color w:val="002060"/>
              </w:rPr>
              <w:t xml:space="preserve">, </w:t>
            </w:r>
            <w:r w:rsidRPr="00D555F8">
              <w:rPr>
                <w:color w:val="002060"/>
              </w:rPr>
              <w:t>Civil Engineering</w:t>
            </w:r>
            <w:r w:rsidRPr="00D85D01">
              <w:rPr>
                <w:color w:val="002060"/>
              </w:rPr>
              <w:t>)</w:t>
            </w:r>
          </w:p>
          <w:p w:rsidR="00D555F8" w:rsidRDefault="00D555F8" w:rsidP="00D555F8">
            <w:pPr>
              <w:pStyle w:val="ListParagraph"/>
              <w:numPr>
                <w:ilvl w:val="0"/>
                <w:numId w:val="1"/>
              </w:numPr>
              <w:spacing w:after="0" w:line="240" w:lineRule="auto"/>
              <w:rPr>
                <w:color w:val="002060"/>
              </w:rPr>
            </w:pPr>
            <w:r w:rsidRPr="00D555F8">
              <w:rPr>
                <w:color w:val="002060"/>
              </w:rPr>
              <w:t>Pharmacy</w:t>
            </w:r>
          </w:p>
          <w:p w:rsidR="00D555F8" w:rsidRPr="00D555F8" w:rsidRDefault="00D555F8" w:rsidP="00D555F8">
            <w:pPr>
              <w:pStyle w:val="ListParagraph"/>
              <w:numPr>
                <w:ilvl w:val="0"/>
                <w:numId w:val="1"/>
              </w:numPr>
              <w:spacing w:after="0" w:line="240" w:lineRule="auto"/>
              <w:rPr>
                <w:color w:val="002060"/>
              </w:rPr>
            </w:pPr>
            <w:r w:rsidRPr="00D555F8">
              <w:rPr>
                <w:color w:val="002060"/>
              </w:rPr>
              <w:t>Aviation Sciences</w:t>
            </w:r>
          </w:p>
        </w:tc>
      </w:tr>
      <w:tr w:rsidR="00D555F8" w:rsidTr="00D555F8">
        <w:tc>
          <w:tcPr>
            <w:tcW w:w="2122" w:type="dxa"/>
          </w:tcPr>
          <w:p w:rsidR="00D555F8" w:rsidRDefault="00D555F8" w:rsidP="00D85D01">
            <w:pPr>
              <w:rPr>
                <w:b/>
                <w:color w:val="002060"/>
              </w:rPr>
            </w:pPr>
            <w:r>
              <w:rPr>
                <w:b/>
                <w:color w:val="002060"/>
              </w:rPr>
              <w:t>Preferred academic staff mobility</w:t>
            </w:r>
          </w:p>
        </w:tc>
        <w:tc>
          <w:tcPr>
            <w:tcW w:w="13556" w:type="dxa"/>
          </w:tcPr>
          <w:p w:rsidR="00D555F8" w:rsidRDefault="00D555F8" w:rsidP="00D85D01">
            <w:pPr>
              <w:jc w:val="both"/>
              <w:rPr>
                <w:color w:val="002060"/>
              </w:rPr>
            </w:pPr>
            <w:r>
              <w:rPr>
                <w:color w:val="002060"/>
              </w:rPr>
              <w:t>AAU would prefer to organize the academic staff mobility for teaching and training:</w:t>
            </w:r>
          </w:p>
          <w:p w:rsidR="00D555F8" w:rsidRPr="002C3B5A" w:rsidRDefault="00D555F8" w:rsidP="00D85D01">
            <w:pPr>
              <w:jc w:val="both"/>
              <w:rPr>
                <w:i/>
                <w:color w:val="002060"/>
              </w:rPr>
            </w:pPr>
            <w:r w:rsidRPr="002C3B5A">
              <w:rPr>
                <w:color w:val="002060"/>
              </w:rPr>
              <w:t>Inbound mobility for teaching/training in the areas mentioned above.</w:t>
            </w:r>
          </w:p>
          <w:p w:rsidR="00D555F8" w:rsidRDefault="00D555F8" w:rsidP="00D85D01">
            <w:pPr>
              <w:jc w:val="both"/>
              <w:rPr>
                <w:color w:val="002060"/>
              </w:rPr>
            </w:pPr>
            <w:r w:rsidRPr="002C3B5A">
              <w:rPr>
                <w:color w:val="002060"/>
              </w:rPr>
              <w:t>Outbound mobility for teaching/training mentioned above.</w:t>
            </w:r>
          </w:p>
        </w:tc>
      </w:tr>
    </w:tbl>
    <w:p w:rsidR="00FF503C" w:rsidRDefault="00FF503C">
      <w:pPr>
        <w:rPr>
          <w:b/>
          <w:color w:val="002060"/>
        </w:rPr>
      </w:pPr>
    </w:p>
    <w:sectPr w:rsidR="00FF503C" w:rsidSect="00CD209E">
      <w:pgSz w:w="16834" w:h="11909" w:orient="landscape" w:code="9"/>
      <w:pgMar w:top="562" w:right="562" w:bottom="562" w:left="562" w:header="706" w:footer="706"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D1076"/>
    <w:multiLevelType w:val="hybridMultilevel"/>
    <w:tmpl w:val="86A6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3C"/>
    <w:rsid w:val="000841F0"/>
    <w:rsid w:val="000C07E3"/>
    <w:rsid w:val="00233764"/>
    <w:rsid w:val="002C3B5A"/>
    <w:rsid w:val="006B4661"/>
    <w:rsid w:val="009C62FC"/>
    <w:rsid w:val="00C348DB"/>
    <w:rsid w:val="00C86566"/>
    <w:rsid w:val="00CD209E"/>
    <w:rsid w:val="00D555F8"/>
    <w:rsid w:val="00D85D01"/>
    <w:rsid w:val="00FF50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50B383-FF67-4F5A-80F5-C8F6833A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33764"/>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lang w:val="en-GB" w:eastAsia="en-GB" w:bidi="en-GB"/>
    </w:rPr>
  </w:style>
  <w:style w:type="paragraph" w:customStyle="1" w:styleId="xxmsonormal">
    <w:name w:val="x_x_msonormal"/>
    <w:basedOn w:val="Normal"/>
    <w:uiPriority w:val="99"/>
    <w:rsid w:val="000841F0"/>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heme="minorHAnsi" w:hAnsi="Times New Roman" w:cs="Times New Roman"/>
      <w:color w:val="auto"/>
      <w:sz w:val="24"/>
      <w:szCs w:val="24"/>
    </w:rPr>
  </w:style>
  <w:style w:type="character" w:styleId="Hyperlink">
    <w:name w:val="Hyperlink"/>
    <w:basedOn w:val="DefaultParagraphFont"/>
    <w:uiPriority w:val="99"/>
    <w:unhideWhenUsed/>
    <w:rsid w:val="006B4661"/>
    <w:rPr>
      <w:color w:val="0563C1" w:themeColor="hyperlink"/>
      <w:u w:val="single"/>
    </w:rPr>
  </w:style>
  <w:style w:type="paragraph" w:styleId="BalloonText">
    <w:name w:val="Balloon Text"/>
    <w:basedOn w:val="Normal"/>
    <w:link w:val="BalloonTextChar"/>
    <w:uiPriority w:val="99"/>
    <w:semiHidden/>
    <w:unhideWhenUsed/>
    <w:rsid w:val="00CD2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0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702971">
      <w:bodyDiv w:val="1"/>
      <w:marLeft w:val="0"/>
      <w:marRight w:val="0"/>
      <w:marTop w:val="0"/>
      <w:marBottom w:val="0"/>
      <w:divBdr>
        <w:top w:val="none" w:sz="0" w:space="0" w:color="auto"/>
        <w:left w:val="none" w:sz="0" w:space="0" w:color="auto"/>
        <w:bottom w:val="none" w:sz="0" w:space="0" w:color="auto"/>
        <w:right w:val="none" w:sz="0" w:space="0" w:color="auto"/>
      </w:divBdr>
    </w:div>
    <w:div w:id="1078985321">
      <w:bodyDiv w:val="1"/>
      <w:marLeft w:val="0"/>
      <w:marRight w:val="0"/>
      <w:marTop w:val="0"/>
      <w:marBottom w:val="0"/>
      <w:divBdr>
        <w:top w:val="none" w:sz="0" w:space="0" w:color="auto"/>
        <w:left w:val="none" w:sz="0" w:space="0" w:color="auto"/>
        <w:bottom w:val="none" w:sz="0" w:space="0" w:color="auto"/>
        <w:right w:val="none" w:sz="0" w:space="0" w:color="auto"/>
      </w:divBdr>
    </w:div>
    <w:div w:id="1168137513">
      <w:bodyDiv w:val="1"/>
      <w:marLeft w:val="0"/>
      <w:marRight w:val="0"/>
      <w:marTop w:val="0"/>
      <w:marBottom w:val="0"/>
      <w:divBdr>
        <w:top w:val="none" w:sz="0" w:space="0" w:color="auto"/>
        <w:left w:val="none" w:sz="0" w:space="0" w:color="auto"/>
        <w:bottom w:val="none" w:sz="0" w:space="0" w:color="auto"/>
        <w:right w:val="none" w:sz="0" w:space="0" w:color="auto"/>
      </w:divBdr>
    </w:div>
    <w:div w:id="1541896157">
      <w:bodyDiv w:val="1"/>
      <w:marLeft w:val="0"/>
      <w:marRight w:val="0"/>
      <w:marTop w:val="0"/>
      <w:marBottom w:val="0"/>
      <w:divBdr>
        <w:top w:val="none" w:sz="0" w:space="0" w:color="auto"/>
        <w:left w:val="none" w:sz="0" w:space="0" w:color="auto"/>
        <w:bottom w:val="none" w:sz="0" w:space="0" w:color="auto"/>
        <w:right w:val="none" w:sz="0" w:space="0" w:color="auto"/>
      </w:divBdr>
    </w:div>
    <w:div w:id="1795708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u.edu.jo/sites/EN/External-Relations/Pages/default.aspx" TargetMode="External"/><Relationship Id="rId5" Type="http://schemas.openxmlformats.org/officeDocument/2006/relationships/hyperlink" Target="http://www.aau.edu.jo/sites/EN/Presidency/Pages/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3925</Words>
  <Characters>2238</Characters>
  <Application>Microsoft Office Word</Application>
  <DocSecurity>4</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Internationl Bureau Administrative</dc:creator>
  <cp:lastModifiedBy>Kristīne Lūse</cp:lastModifiedBy>
  <cp:revision>2</cp:revision>
  <cp:lastPrinted>2017-12-03T06:43:00Z</cp:lastPrinted>
  <dcterms:created xsi:type="dcterms:W3CDTF">2019-01-18T12:56:00Z</dcterms:created>
  <dcterms:modified xsi:type="dcterms:W3CDTF">2019-01-18T12:56:00Z</dcterms:modified>
</cp:coreProperties>
</file>